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B83" w:rsidRDefault="00AD3B83" w:rsidP="00AD3B83">
      <w:pPr>
        <w:pStyle w:val="Title"/>
        <w:rPr>
          <w:rFonts w:ascii="Arial" w:hAnsi="Arial" w:cs="Arial"/>
          <w:sz w:val="56"/>
          <w:szCs w:val="56"/>
        </w:rPr>
      </w:pPr>
      <w:r>
        <w:rPr>
          <w:rFonts w:ascii="Arial" w:hAnsi="Arial" w:cs="Arial"/>
          <w:sz w:val="56"/>
          <w:szCs w:val="56"/>
        </w:rPr>
        <w:t xml:space="preserve">Bournbrook Varsity Medical Centre </w:t>
      </w:r>
    </w:p>
    <w:p w:rsidR="00AD3B83" w:rsidRDefault="00AD3B83" w:rsidP="00AD3B83">
      <w:pPr>
        <w:spacing w:after="0"/>
        <w:jc w:val="center"/>
        <w:rPr>
          <w:rFonts w:ascii="Arial" w:hAnsi="Arial" w:cs="Arial"/>
          <w:b/>
          <w:bCs/>
          <w:sz w:val="24"/>
          <w:szCs w:val="24"/>
        </w:rPr>
      </w:pPr>
      <w:r>
        <w:rPr>
          <w:rFonts w:ascii="Arial" w:hAnsi="Arial" w:cs="Arial"/>
          <w:b/>
          <w:bCs/>
        </w:rPr>
        <w:t>1A Alton Road, Selly Oak, Birmingham B29 7DU</w:t>
      </w:r>
    </w:p>
    <w:p w:rsidR="00AD3B83" w:rsidRDefault="00AD3B83" w:rsidP="00AD3B83">
      <w:pPr>
        <w:spacing w:after="0"/>
        <w:jc w:val="center"/>
        <w:rPr>
          <w:rFonts w:ascii="Arial" w:hAnsi="Arial" w:cs="Arial"/>
          <w:b/>
          <w:bCs/>
        </w:rPr>
      </w:pPr>
      <w:r>
        <w:rPr>
          <w:rFonts w:ascii="Arial" w:hAnsi="Arial" w:cs="Arial"/>
          <w:b/>
          <w:bCs/>
        </w:rPr>
        <w:t xml:space="preserve">Tel: 0121 472 0129  </w:t>
      </w:r>
    </w:p>
    <w:p w:rsidR="00AD3B83" w:rsidRDefault="00AD3B83" w:rsidP="00AD3B83">
      <w:pPr>
        <w:spacing w:after="0"/>
        <w:jc w:val="center"/>
        <w:rPr>
          <w:rFonts w:ascii="Arial" w:hAnsi="Arial" w:cs="Arial"/>
          <w:b/>
          <w:bCs/>
          <w:i/>
          <w:sz w:val="20"/>
          <w:szCs w:val="20"/>
        </w:rPr>
      </w:pPr>
      <w:r>
        <w:rPr>
          <w:rFonts w:ascii="Arial" w:hAnsi="Arial" w:cs="Arial"/>
          <w:b/>
          <w:bCs/>
          <w:i/>
          <w:sz w:val="20"/>
          <w:szCs w:val="20"/>
        </w:rPr>
        <w:t>Open Monday to Saturday</w:t>
      </w:r>
    </w:p>
    <w:p w:rsidR="00AD3B83" w:rsidRDefault="00AD3B83" w:rsidP="00AD3B83">
      <w:pPr>
        <w:spacing w:after="0"/>
        <w:jc w:val="center"/>
        <w:rPr>
          <w:rFonts w:ascii="Arial" w:hAnsi="Arial" w:cs="Arial"/>
          <w:b/>
          <w:bCs/>
          <w:i/>
          <w:sz w:val="20"/>
          <w:szCs w:val="20"/>
        </w:rPr>
      </w:pPr>
      <w:r>
        <w:rPr>
          <w:rFonts w:ascii="Arial" w:hAnsi="Arial" w:cs="Arial"/>
          <w:b/>
          <w:bCs/>
          <w:i/>
          <w:sz w:val="20"/>
          <w:szCs w:val="20"/>
        </w:rPr>
        <w:t xml:space="preserve">Dr C Allen, Dr M Swallow, Dr A Dungate, Dr S Clarke - Partners </w:t>
      </w:r>
    </w:p>
    <w:p w:rsidR="00AD3B83" w:rsidRDefault="00AD3B83" w:rsidP="00AD3B83">
      <w:pPr>
        <w:spacing w:after="0"/>
        <w:jc w:val="center"/>
        <w:rPr>
          <w:rFonts w:ascii="Arial" w:hAnsi="Arial" w:cs="Arial"/>
          <w:b/>
          <w:bCs/>
          <w:i/>
          <w:sz w:val="20"/>
          <w:szCs w:val="20"/>
        </w:rPr>
      </w:pPr>
      <w:r>
        <w:rPr>
          <w:rFonts w:ascii="Arial" w:hAnsi="Arial" w:cs="Arial"/>
          <w:b/>
          <w:bCs/>
          <w:i/>
          <w:sz w:val="20"/>
          <w:szCs w:val="20"/>
        </w:rPr>
        <w:t>Dr M Philp, Dr A Nijjar, Dr H Cole, Dr S Ali, Dr J Tatlock, Dr N Ahmad, Dr N Grant – Associates</w:t>
      </w:r>
    </w:p>
    <w:p w:rsidR="00AD3B83" w:rsidRDefault="00AD3B83" w:rsidP="00AD3B83">
      <w:pPr>
        <w:spacing w:after="0"/>
        <w:jc w:val="center"/>
        <w:rPr>
          <w:rFonts w:ascii="Arial" w:hAnsi="Arial" w:cs="Arial"/>
          <w:b/>
          <w:bCs/>
          <w:i/>
          <w:sz w:val="20"/>
          <w:szCs w:val="20"/>
        </w:rPr>
      </w:pPr>
    </w:p>
    <w:p w:rsidR="00D47DFB" w:rsidRDefault="00D47DFB" w:rsidP="00AD3B83">
      <w:pPr>
        <w:rPr>
          <w:rFonts w:ascii="Arial" w:hAnsi="Arial" w:cs="Arial"/>
          <w:b/>
          <w:sz w:val="24"/>
          <w:szCs w:val="24"/>
        </w:rPr>
      </w:pPr>
      <w:r>
        <w:rPr>
          <w:rFonts w:ascii="Arial" w:hAnsi="Arial" w:cs="Arial"/>
          <w:b/>
          <w:sz w:val="24"/>
          <w:szCs w:val="24"/>
        </w:rPr>
        <w:t>Moving out of our catchment area?</w:t>
      </w:r>
    </w:p>
    <w:p w:rsidR="00621C55" w:rsidRDefault="00621C55" w:rsidP="00621C55">
      <w:pPr>
        <w:rPr>
          <w:rFonts w:ascii="Arial" w:hAnsi="Arial" w:cs="Arial"/>
          <w:sz w:val="24"/>
          <w:szCs w:val="24"/>
        </w:rPr>
      </w:pPr>
      <w:bookmarkStart w:id="0" w:name="_GoBack"/>
      <w:r>
        <w:rPr>
          <w:rFonts w:ascii="Arial" w:hAnsi="Arial" w:cs="Arial"/>
          <w:sz w:val="24"/>
          <w:szCs w:val="24"/>
        </w:rPr>
        <w:t>Patients who move outside our practice catchment area (see our website</w:t>
      </w:r>
      <w:r w:rsidR="00962326">
        <w:rPr>
          <w:rFonts w:ascii="Arial" w:hAnsi="Arial" w:cs="Arial"/>
          <w:sz w:val="24"/>
          <w:szCs w:val="24"/>
        </w:rPr>
        <w:t xml:space="preserve"> for a detailed map</w:t>
      </w:r>
      <w:r>
        <w:rPr>
          <w:rFonts w:ascii="Arial" w:hAnsi="Arial" w:cs="Arial"/>
          <w:sz w:val="24"/>
          <w:szCs w:val="24"/>
        </w:rPr>
        <w:t>)</w:t>
      </w:r>
      <w:r w:rsidR="00E31DD2">
        <w:rPr>
          <w:rFonts w:ascii="Arial" w:hAnsi="Arial" w:cs="Arial"/>
          <w:sz w:val="24"/>
          <w:szCs w:val="24"/>
        </w:rPr>
        <w:t>, but are still l</w:t>
      </w:r>
      <w:r w:rsidR="00962326">
        <w:rPr>
          <w:rFonts w:ascii="Arial" w:hAnsi="Arial" w:cs="Arial"/>
          <w:sz w:val="24"/>
          <w:szCs w:val="24"/>
        </w:rPr>
        <w:t xml:space="preserve">iving in Birmingham (have a </w:t>
      </w:r>
      <w:r w:rsidR="00E31DD2">
        <w:rPr>
          <w:rFonts w:ascii="Arial" w:hAnsi="Arial" w:cs="Arial"/>
          <w:sz w:val="24"/>
          <w:szCs w:val="24"/>
        </w:rPr>
        <w:t>postcode</w:t>
      </w:r>
      <w:r w:rsidR="00962326">
        <w:rPr>
          <w:rFonts w:ascii="Arial" w:hAnsi="Arial" w:cs="Arial"/>
          <w:sz w:val="24"/>
          <w:szCs w:val="24"/>
        </w:rPr>
        <w:t xml:space="preserve"> starting with ‘B’</w:t>
      </w:r>
      <w:r w:rsidR="00E31DD2">
        <w:rPr>
          <w:rFonts w:ascii="Arial" w:hAnsi="Arial" w:cs="Arial"/>
          <w:sz w:val="24"/>
          <w:szCs w:val="24"/>
        </w:rPr>
        <w:t>),</w:t>
      </w:r>
      <w:r>
        <w:rPr>
          <w:rFonts w:ascii="Arial" w:hAnsi="Arial" w:cs="Arial"/>
          <w:sz w:val="24"/>
          <w:szCs w:val="24"/>
        </w:rPr>
        <w:t xml:space="preserve"> can apply to register as an “Out-of-Area Registered Patient”. Bournbrook Varsity Medical Centre will not provide home visits to the patient</w:t>
      </w:r>
      <w:r w:rsidR="00962326">
        <w:rPr>
          <w:rFonts w:ascii="Arial" w:hAnsi="Arial" w:cs="Arial"/>
          <w:sz w:val="24"/>
          <w:szCs w:val="24"/>
        </w:rPr>
        <w:t>s</w:t>
      </w:r>
      <w:r>
        <w:rPr>
          <w:rFonts w:ascii="Arial" w:hAnsi="Arial" w:cs="Arial"/>
          <w:sz w:val="24"/>
          <w:szCs w:val="24"/>
        </w:rPr>
        <w:t xml:space="preserve"> when outside the practice area. It is at the discretion of the practice whether to accept patients who live out-of-area. The decision is based on the following considerations: </w:t>
      </w:r>
    </w:p>
    <w:p w:rsidR="00621C55" w:rsidRDefault="00621C55" w:rsidP="00621C55">
      <w:pPr>
        <w:pStyle w:val="ListParagraph"/>
        <w:numPr>
          <w:ilvl w:val="0"/>
          <w:numId w:val="2"/>
        </w:numPr>
        <w:rPr>
          <w:rFonts w:ascii="Arial" w:hAnsi="Arial" w:cs="Arial"/>
          <w:sz w:val="24"/>
          <w:szCs w:val="24"/>
        </w:rPr>
      </w:pPr>
      <w:r>
        <w:rPr>
          <w:rFonts w:ascii="Arial" w:hAnsi="Arial" w:cs="Arial"/>
          <w:sz w:val="24"/>
          <w:szCs w:val="24"/>
        </w:rPr>
        <w:t xml:space="preserve">Whether there are clinical conditions or care needs which mean registration without the ability to do home visits would compromise clinical care </w:t>
      </w:r>
    </w:p>
    <w:p w:rsidR="00621C55" w:rsidRDefault="00621C55" w:rsidP="00621C55">
      <w:pPr>
        <w:pStyle w:val="ListParagraph"/>
        <w:numPr>
          <w:ilvl w:val="0"/>
          <w:numId w:val="2"/>
        </w:numPr>
        <w:rPr>
          <w:rFonts w:ascii="Arial" w:hAnsi="Arial" w:cs="Arial"/>
          <w:sz w:val="24"/>
          <w:szCs w:val="24"/>
        </w:rPr>
      </w:pPr>
      <w:r>
        <w:rPr>
          <w:rFonts w:ascii="Arial" w:hAnsi="Arial" w:cs="Arial"/>
          <w:sz w:val="24"/>
          <w:szCs w:val="24"/>
        </w:rPr>
        <w:t xml:space="preserve">Whether the patient’s needs would be better met through registration to a nearer practice </w:t>
      </w:r>
    </w:p>
    <w:p w:rsidR="005F171B" w:rsidRDefault="00621C55" w:rsidP="00AD3B83">
      <w:pPr>
        <w:pStyle w:val="ListParagraph"/>
        <w:numPr>
          <w:ilvl w:val="0"/>
          <w:numId w:val="2"/>
        </w:numPr>
        <w:rPr>
          <w:rFonts w:ascii="Arial" w:hAnsi="Arial" w:cs="Arial"/>
          <w:sz w:val="24"/>
          <w:szCs w:val="24"/>
        </w:rPr>
      </w:pPr>
      <w:r>
        <w:rPr>
          <w:rFonts w:ascii="Arial" w:hAnsi="Arial" w:cs="Arial"/>
          <w:sz w:val="24"/>
          <w:szCs w:val="24"/>
        </w:rPr>
        <w:t>Whether practical reasons mean that the patient is unlikely to benefit from out of area registration – for example, if the patient will not be spending frequent periods of time in or near our practice area</w:t>
      </w:r>
    </w:p>
    <w:p w:rsidR="007A7AA5" w:rsidRPr="007A7AA5" w:rsidRDefault="007A7AA5" w:rsidP="007A7AA5">
      <w:pPr>
        <w:rPr>
          <w:rFonts w:ascii="Arial" w:hAnsi="Arial" w:cs="Arial"/>
          <w:sz w:val="24"/>
          <w:szCs w:val="24"/>
        </w:rPr>
      </w:pPr>
      <w:r>
        <w:rPr>
          <w:rFonts w:ascii="Arial" w:hAnsi="Arial" w:cs="Arial"/>
          <w:sz w:val="24"/>
          <w:szCs w:val="24"/>
        </w:rPr>
        <w:t>Please note that if your circumstances change and the Practice feels that your care needs can no longer be met, we may review your out-of-area registration at any point and ask you to change GP surgery.</w:t>
      </w:r>
    </w:p>
    <w:bookmarkEnd w:id="0"/>
    <w:p w:rsidR="00AD3B83" w:rsidRDefault="00AD3B83" w:rsidP="00AD3B83">
      <w:pPr>
        <w:rPr>
          <w:rFonts w:ascii="Arial" w:hAnsi="Arial" w:cs="Arial"/>
          <w:b/>
          <w:sz w:val="24"/>
          <w:szCs w:val="24"/>
        </w:rPr>
      </w:pPr>
      <w:r>
        <w:rPr>
          <w:rFonts w:ascii="Arial" w:hAnsi="Arial" w:cs="Arial"/>
          <w:b/>
          <w:sz w:val="24"/>
          <w:szCs w:val="24"/>
        </w:rPr>
        <w:t>Moving</w:t>
      </w:r>
      <w:r w:rsidR="00D47DFB">
        <w:rPr>
          <w:rFonts w:ascii="Arial" w:hAnsi="Arial" w:cs="Arial"/>
          <w:b/>
          <w:sz w:val="24"/>
          <w:szCs w:val="24"/>
        </w:rPr>
        <w:t xml:space="preserve"> out of Birmingham?</w:t>
      </w:r>
    </w:p>
    <w:p w:rsidR="00AD3B83" w:rsidRDefault="00AD3B83" w:rsidP="00AD3B83">
      <w:pPr>
        <w:rPr>
          <w:rFonts w:ascii="Arial" w:hAnsi="Arial" w:cs="Arial"/>
          <w:sz w:val="24"/>
          <w:szCs w:val="24"/>
        </w:rPr>
      </w:pPr>
      <w:r>
        <w:rPr>
          <w:rFonts w:ascii="Arial" w:hAnsi="Arial" w:cs="Arial"/>
          <w:sz w:val="24"/>
          <w:szCs w:val="24"/>
        </w:rPr>
        <w:t>If you have recently moved out</w:t>
      </w:r>
      <w:r w:rsidR="00E31DD2">
        <w:rPr>
          <w:rFonts w:ascii="Arial" w:hAnsi="Arial" w:cs="Arial"/>
          <w:sz w:val="24"/>
          <w:szCs w:val="24"/>
        </w:rPr>
        <w:t xml:space="preserve"> of Birmingham (no longer have a ‘B’ postcode)</w:t>
      </w:r>
      <w:r>
        <w:rPr>
          <w:rFonts w:ascii="Arial" w:hAnsi="Arial" w:cs="Arial"/>
          <w:sz w:val="24"/>
          <w:szCs w:val="24"/>
        </w:rPr>
        <w:t xml:space="preserve">, it is advised that you register at a GP surgery closer to your home. If you have recently told us that you have moved out-of-area, you will be given 30 days in which to make alternative arrangements. </w:t>
      </w:r>
    </w:p>
    <w:p w:rsidR="00AD3B83" w:rsidRDefault="00AD3B83" w:rsidP="00AD3B83">
      <w:pPr>
        <w:rPr>
          <w:rFonts w:ascii="Arial" w:hAnsi="Arial" w:cs="Arial"/>
          <w:b/>
          <w:sz w:val="24"/>
          <w:szCs w:val="24"/>
        </w:rPr>
      </w:pPr>
      <w:r>
        <w:rPr>
          <w:rFonts w:ascii="Arial" w:hAnsi="Arial" w:cs="Arial"/>
          <w:b/>
          <w:sz w:val="24"/>
          <w:szCs w:val="24"/>
        </w:rPr>
        <w:t xml:space="preserve">How do I find a new GP Practice? </w:t>
      </w:r>
    </w:p>
    <w:p w:rsidR="00AD3B83" w:rsidRDefault="00AD3B83" w:rsidP="00AD3B83">
      <w:pPr>
        <w:rPr>
          <w:rFonts w:ascii="Arial" w:hAnsi="Arial" w:cs="Arial"/>
          <w:sz w:val="24"/>
          <w:szCs w:val="24"/>
        </w:rPr>
      </w:pPr>
      <w:r>
        <w:rPr>
          <w:rFonts w:ascii="Arial" w:hAnsi="Arial" w:cs="Arial"/>
          <w:sz w:val="24"/>
          <w:szCs w:val="24"/>
        </w:rPr>
        <w:t xml:space="preserve">The NHS website (www.nhs.uk/service-search/find-a-GP) will allow you to do a postcode search to find information about your nearest surgeries, including whether they are accepting new patients. Before you choose a new GP surgery it is advised to read the section about choosing a GP practice based on its facilities, services, access, and performance. You could also ask your new neighbours, friends, relatives, or others you trust for recommendations. </w:t>
      </w:r>
    </w:p>
    <w:p w:rsidR="00AD3B83" w:rsidRDefault="00AD3B83" w:rsidP="00AD3B83">
      <w:pPr>
        <w:rPr>
          <w:rFonts w:ascii="Arial" w:hAnsi="Arial" w:cs="Arial"/>
          <w:b/>
          <w:sz w:val="24"/>
          <w:szCs w:val="24"/>
        </w:rPr>
      </w:pPr>
      <w:r>
        <w:rPr>
          <w:rFonts w:ascii="Arial" w:hAnsi="Arial" w:cs="Arial"/>
          <w:b/>
          <w:sz w:val="24"/>
          <w:szCs w:val="24"/>
        </w:rPr>
        <w:t xml:space="preserve">What will happen once I register at another practice? </w:t>
      </w:r>
    </w:p>
    <w:p w:rsidR="00AD3B83" w:rsidRDefault="00AD3B83" w:rsidP="00AD3B83">
      <w:pPr>
        <w:rPr>
          <w:rFonts w:ascii="Arial" w:hAnsi="Arial" w:cs="Arial"/>
          <w:sz w:val="24"/>
          <w:szCs w:val="24"/>
        </w:rPr>
      </w:pPr>
      <w:r>
        <w:rPr>
          <w:rFonts w:ascii="Arial" w:hAnsi="Arial" w:cs="Arial"/>
          <w:sz w:val="24"/>
          <w:szCs w:val="24"/>
        </w:rPr>
        <w:t xml:space="preserve">When you register with another practice you will automatically be removed from our patient list. All your electronic medical notes will normally immediately transfer to your new GP, with your paper notes following. </w:t>
      </w:r>
    </w:p>
    <w:p w:rsidR="00AD3B83" w:rsidRDefault="00AD3B83" w:rsidP="00AD3B83">
      <w:pPr>
        <w:rPr>
          <w:rFonts w:ascii="Arial" w:hAnsi="Arial" w:cs="Arial"/>
          <w:b/>
          <w:sz w:val="24"/>
          <w:szCs w:val="24"/>
        </w:rPr>
      </w:pPr>
      <w:r>
        <w:rPr>
          <w:rFonts w:ascii="Arial" w:hAnsi="Arial" w:cs="Arial"/>
          <w:b/>
          <w:sz w:val="24"/>
          <w:szCs w:val="24"/>
        </w:rPr>
        <w:t xml:space="preserve">I am currently in the middle of treatment what do I do? </w:t>
      </w:r>
    </w:p>
    <w:p w:rsidR="00AD3B83" w:rsidRDefault="00AD3B83" w:rsidP="00AD3B83">
      <w:pPr>
        <w:rPr>
          <w:rFonts w:ascii="Arial" w:hAnsi="Arial" w:cs="Arial"/>
          <w:sz w:val="24"/>
          <w:szCs w:val="24"/>
        </w:rPr>
      </w:pPr>
      <w:r>
        <w:rPr>
          <w:rFonts w:ascii="Arial" w:hAnsi="Arial" w:cs="Arial"/>
          <w:sz w:val="24"/>
          <w:szCs w:val="24"/>
        </w:rPr>
        <w:t xml:space="preserve">It is normally in your best interest to register at a local GP surgery as soon as possible after moving. However, if you need emergency treatment or have treatment more than once a week, you can get treatment from your current GP until your condition improves or until a new GP practice accepts you. </w:t>
      </w:r>
    </w:p>
    <w:p w:rsidR="00AD3B83" w:rsidRDefault="00AD3B83" w:rsidP="00AD3B83">
      <w:pPr>
        <w:rPr>
          <w:rFonts w:ascii="Arial" w:hAnsi="Arial" w:cs="Arial"/>
          <w:b/>
          <w:sz w:val="24"/>
          <w:szCs w:val="24"/>
        </w:rPr>
      </w:pPr>
    </w:p>
    <w:p w:rsidR="00621C55" w:rsidRDefault="00621C55" w:rsidP="00AD3B83">
      <w:pPr>
        <w:rPr>
          <w:rFonts w:ascii="Arial" w:hAnsi="Arial" w:cs="Arial"/>
          <w:b/>
          <w:sz w:val="24"/>
          <w:szCs w:val="24"/>
        </w:rPr>
      </w:pPr>
    </w:p>
    <w:p w:rsidR="00621C55" w:rsidRDefault="00621C55" w:rsidP="00AD3B83">
      <w:pPr>
        <w:rPr>
          <w:rFonts w:ascii="Arial" w:hAnsi="Arial" w:cs="Arial"/>
        </w:rPr>
      </w:pPr>
    </w:p>
    <w:p w:rsidR="00AD3B83" w:rsidRDefault="00AD3B83" w:rsidP="00AD3B83">
      <w:pPr>
        <w:rPr>
          <w:rFonts w:ascii="Arial" w:hAnsi="Arial" w:cs="Arial"/>
        </w:rPr>
      </w:pPr>
    </w:p>
    <w:p w:rsidR="00AD3B83" w:rsidRDefault="00AD3B83" w:rsidP="00AD3B83">
      <w:pPr>
        <w:rPr>
          <w:rFonts w:ascii="Arial" w:hAnsi="Arial" w:cs="Arial"/>
          <w:b/>
          <w:sz w:val="24"/>
        </w:rPr>
      </w:pPr>
      <w:r>
        <w:rPr>
          <w:rFonts w:ascii="Arial" w:hAnsi="Arial" w:cs="Arial"/>
          <w:b/>
          <w:sz w:val="24"/>
        </w:rPr>
        <w:t xml:space="preserve">If you </w:t>
      </w:r>
      <w:r w:rsidR="00621C55">
        <w:rPr>
          <w:rFonts w:ascii="Arial" w:hAnsi="Arial" w:cs="Arial"/>
          <w:b/>
          <w:sz w:val="24"/>
        </w:rPr>
        <w:t xml:space="preserve">are still living in Birmingham and </w:t>
      </w:r>
      <w:r>
        <w:rPr>
          <w:rFonts w:ascii="Arial" w:hAnsi="Arial" w:cs="Arial"/>
          <w:b/>
          <w:sz w:val="24"/>
        </w:rPr>
        <w:t>would like to apply as an ‘Out-of-Area Registered Patient’, please return this form to Bournbrook Varsity Medical Centre. The Practice</w:t>
      </w:r>
      <w:r w:rsidR="00962326">
        <w:rPr>
          <w:rFonts w:ascii="Arial" w:hAnsi="Arial" w:cs="Arial"/>
          <w:b/>
          <w:sz w:val="24"/>
        </w:rPr>
        <w:t xml:space="preserve"> Partners</w:t>
      </w:r>
      <w:r>
        <w:rPr>
          <w:rFonts w:ascii="Arial" w:hAnsi="Arial" w:cs="Arial"/>
          <w:b/>
          <w:sz w:val="24"/>
        </w:rPr>
        <w:t xml:space="preserve"> will review your application and inform whether we can accept you as an out-of-area patient within 28 days.</w:t>
      </w:r>
    </w:p>
    <w:p w:rsidR="00AD3B83" w:rsidRDefault="00AD3B83" w:rsidP="00AD3B83">
      <w:pPr>
        <w:rPr>
          <w:rFonts w:ascii="Arial" w:hAnsi="Arial" w:cs="Arial"/>
        </w:rPr>
      </w:pPr>
    </w:p>
    <w:p w:rsidR="00AD3B83" w:rsidRDefault="00AD3B83" w:rsidP="00AD3B83">
      <w:pPr>
        <w:rPr>
          <w:rFonts w:ascii="Arial" w:hAnsi="Arial" w:cs="Arial"/>
          <w:b/>
        </w:rPr>
      </w:pPr>
      <w:r>
        <w:rPr>
          <w:rFonts w:ascii="Arial" w:hAnsi="Arial" w:cs="Arial"/>
          <w:b/>
        </w:rPr>
        <w:t>Patient Name:</w:t>
      </w:r>
    </w:p>
    <w:p w:rsidR="00AD3B83" w:rsidRDefault="00AD3B83" w:rsidP="00AD3B83">
      <w:pPr>
        <w:rPr>
          <w:rFonts w:ascii="Arial" w:hAnsi="Arial" w:cs="Arial"/>
          <w:b/>
        </w:rPr>
      </w:pPr>
      <w:r>
        <w:rPr>
          <w:rFonts w:ascii="Arial" w:hAnsi="Arial" w:cs="Arial"/>
          <w:b/>
        </w:rPr>
        <w:t>DOB:</w:t>
      </w:r>
    </w:p>
    <w:p w:rsidR="00AD3B83" w:rsidRDefault="00AD3B83" w:rsidP="00AD3B83">
      <w:pPr>
        <w:rPr>
          <w:rFonts w:ascii="Arial" w:hAnsi="Arial" w:cs="Arial"/>
          <w:b/>
        </w:rPr>
      </w:pPr>
      <w:r>
        <w:rPr>
          <w:rFonts w:ascii="Arial" w:hAnsi="Arial" w:cs="Arial"/>
          <w:b/>
        </w:rPr>
        <w:t>Old Address:</w:t>
      </w:r>
    </w:p>
    <w:p w:rsidR="00AD3B83" w:rsidRDefault="00AD3B83" w:rsidP="00AD3B83">
      <w:pPr>
        <w:rPr>
          <w:rFonts w:ascii="Arial" w:hAnsi="Arial" w:cs="Arial"/>
          <w:b/>
        </w:rPr>
      </w:pPr>
      <w:r>
        <w:rPr>
          <w:rFonts w:ascii="Arial" w:hAnsi="Arial" w:cs="Arial"/>
          <w:b/>
        </w:rPr>
        <w:t>New Address:</w:t>
      </w:r>
    </w:p>
    <w:p w:rsidR="00AD3B83" w:rsidRDefault="00AD3B83" w:rsidP="00AD3B83">
      <w:pPr>
        <w:rPr>
          <w:rFonts w:ascii="Arial" w:hAnsi="Arial" w:cs="Arial"/>
          <w:b/>
        </w:rPr>
      </w:pPr>
    </w:p>
    <w:p w:rsidR="00AD3B83" w:rsidRDefault="00AD3B83" w:rsidP="00AD3B83">
      <w:pPr>
        <w:rPr>
          <w:rFonts w:ascii="Arial" w:hAnsi="Arial" w:cs="Arial"/>
          <w:b/>
        </w:rPr>
      </w:pPr>
      <w:r>
        <w:rPr>
          <w:rFonts w:ascii="Arial" w:hAnsi="Arial" w:cs="Arial"/>
          <w:b/>
        </w:rPr>
        <w:t>Patient Statement:</w:t>
      </w:r>
    </w:p>
    <w:p w:rsidR="00AD3B83" w:rsidRDefault="00AD3B83" w:rsidP="00AD3B83">
      <w:pPr>
        <w:rPr>
          <w:rFonts w:ascii="Arial" w:hAnsi="Arial" w:cs="Arial"/>
        </w:rPr>
      </w:pPr>
      <w:r>
        <w:rPr>
          <w:rFonts w:ascii="Arial" w:hAnsi="Arial" w:cs="Arial"/>
        </w:rPr>
        <w:t>I would like to register as an ‘Out-of-Area Registered Patient’ at Bournbrook Varsity Medical Centre.</w:t>
      </w:r>
    </w:p>
    <w:p w:rsidR="00AD3B83" w:rsidRDefault="00AD3B83" w:rsidP="00AD3B83">
      <w:pPr>
        <w:pStyle w:val="ListParagraph"/>
        <w:numPr>
          <w:ilvl w:val="0"/>
          <w:numId w:val="3"/>
        </w:numPr>
        <w:rPr>
          <w:rFonts w:ascii="Arial" w:hAnsi="Arial" w:cs="Arial"/>
        </w:rPr>
      </w:pPr>
      <w:r>
        <w:rPr>
          <w:rFonts w:ascii="Arial" w:hAnsi="Arial" w:cs="Arial"/>
        </w:rPr>
        <w:t>Agree</w:t>
      </w:r>
    </w:p>
    <w:p w:rsidR="00AD3B83" w:rsidRDefault="00AD3B83" w:rsidP="00AD3B83">
      <w:pPr>
        <w:pStyle w:val="ListParagraph"/>
        <w:numPr>
          <w:ilvl w:val="0"/>
          <w:numId w:val="3"/>
        </w:numPr>
        <w:rPr>
          <w:rFonts w:ascii="Arial" w:hAnsi="Arial" w:cs="Arial"/>
        </w:rPr>
      </w:pPr>
      <w:r>
        <w:rPr>
          <w:rFonts w:ascii="Arial" w:hAnsi="Arial" w:cs="Arial"/>
        </w:rPr>
        <w:t>Disagree</w:t>
      </w:r>
    </w:p>
    <w:p w:rsidR="00AD3B83" w:rsidRDefault="00AD3B83" w:rsidP="00AD3B83">
      <w:pPr>
        <w:rPr>
          <w:rFonts w:ascii="Arial" w:hAnsi="Arial" w:cs="Arial"/>
        </w:rPr>
      </w:pPr>
      <w:r>
        <w:rPr>
          <w:rFonts w:ascii="Arial" w:hAnsi="Arial" w:cs="Arial"/>
        </w:rPr>
        <w:t>I understand that Bournbrook Varsity Medical Centre will not provide home visits or other urgent care to me when outside the practice area.</w:t>
      </w:r>
    </w:p>
    <w:p w:rsidR="00AD3B83" w:rsidRDefault="00AD3B83" w:rsidP="00AD3B83">
      <w:pPr>
        <w:pStyle w:val="ListParagraph"/>
        <w:numPr>
          <w:ilvl w:val="0"/>
          <w:numId w:val="4"/>
        </w:numPr>
        <w:rPr>
          <w:rFonts w:ascii="Arial" w:hAnsi="Arial" w:cs="Arial"/>
        </w:rPr>
      </w:pPr>
      <w:r>
        <w:rPr>
          <w:rFonts w:ascii="Arial" w:hAnsi="Arial" w:cs="Arial"/>
        </w:rPr>
        <w:t>Agree</w:t>
      </w:r>
    </w:p>
    <w:p w:rsidR="00AD3B83" w:rsidRDefault="00AD3B83" w:rsidP="00AD3B83">
      <w:pPr>
        <w:pStyle w:val="ListParagraph"/>
        <w:numPr>
          <w:ilvl w:val="0"/>
          <w:numId w:val="4"/>
        </w:numPr>
        <w:rPr>
          <w:rFonts w:ascii="Arial" w:hAnsi="Arial" w:cs="Arial"/>
        </w:rPr>
      </w:pPr>
      <w:r>
        <w:rPr>
          <w:rFonts w:ascii="Arial" w:hAnsi="Arial" w:cs="Arial"/>
        </w:rPr>
        <w:t>Disagree</w:t>
      </w:r>
    </w:p>
    <w:p w:rsidR="00AD3B83" w:rsidRDefault="00AD3B83" w:rsidP="00AD3B83">
      <w:pPr>
        <w:pStyle w:val="ListParagraph"/>
        <w:rPr>
          <w:rFonts w:ascii="Arial" w:hAnsi="Arial" w:cs="Arial"/>
        </w:rPr>
      </w:pPr>
    </w:p>
    <w:p w:rsidR="00AD3B83" w:rsidRDefault="00AD3B83" w:rsidP="00AD3B83">
      <w:pPr>
        <w:rPr>
          <w:rFonts w:ascii="Arial" w:hAnsi="Arial" w:cs="Arial"/>
          <w:b/>
        </w:rPr>
      </w:pPr>
      <w:r>
        <w:rPr>
          <w:rFonts w:ascii="Arial" w:hAnsi="Arial" w:cs="Arial"/>
          <w:b/>
        </w:rPr>
        <w:t>Signature:</w:t>
      </w:r>
    </w:p>
    <w:p w:rsidR="00AD3B83" w:rsidRDefault="00AD3B83" w:rsidP="00AD3B83">
      <w:pPr>
        <w:rPr>
          <w:rFonts w:ascii="Arial" w:hAnsi="Arial" w:cs="Arial"/>
          <w:b/>
        </w:rPr>
      </w:pPr>
      <w:r>
        <w:rPr>
          <w:rFonts w:ascii="Arial" w:hAnsi="Arial" w:cs="Arial"/>
          <w:b/>
        </w:rPr>
        <w:t>Date:</w:t>
      </w:r>
    </w:p>
    <w:p w:rsidR="00F73AEE" w:rsidRPr="00AD3B83" w:rsidRDefault="00F73AEE" w:rsidP="00AD3B83"/>
    <w:sectPr w:rsidR="00F73AEE" w:rsidRPr="00AD3B83" w:rsidSect="00AD3B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6E63"/>
    <w:multiLevelType w:val="hybridMultilevel"/>
    <w:tmpl w:val="4AFC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D739D"/>
    <w:multiLevelType w:val="hybridMultilevel"/>
    <w:tmpl w:val="2390A216"/>
    <w:lvl w:ilvl="0" w:tplc="E52A244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D400C58"/>
    <w:multiLevelType w:val="hybridMultilevel"/>
    <w:tmpl w:val="924E5296"/>
    <w:lvl w:ilvl="0" w:tplc="E52A244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4F2"/>
    <w:rsid w:val="004F6E16"/>
    <w:rsid w:val="005F171B"/>
    <w:rsid w:val="00621C55"/>
    <w:rsid w:val="007A7AA5"/>
    <w:rsid w:val="00962326"/>
    <w:rsid w:val="00AD3B83"/>
    <w:rsid w:val="00AE66EF"/>
    <w:rsid w:val="00CD5B7B"/>
    <w:rsid w:val="00D47DFB"/>
    <w:rsid w:val="00E31DD2"/>
    <w:rsid w:val="00E934F2"/>
    <w:rsid w:val="00F73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3FF4B-3462-45E0-B3AE-5AE746C8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B83"/>
    <w:pPr>
      <w:spacing w:line="25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4F2"/>
    <w:pPr>
      <w:ind w:left="720"/>
      <w:contextualSpacing/>
    </w:pPr>
  </w:style>
  <w:style w:type="paragraph" w:styleId="Title">
    <w:name w:val="Title"/>
    <w:basedOn w:val="Normal"/>
    <w:link w:val="TitleChar"/>
    <w:uiPriority w:val="99"/>
    <w:qFormat/>
    <w:rsid w:val="00AD3B83"/>
    <w:pPr>
      <w:spacing w:after="0" w:line="240" w:lineRule="auto"/>
      <w:jc w:val="center"/>
    </w:pPr>
    <w:rPr>
      <w:rFonts w:ascii="Times New Roman" w:hAnsi="Times New Roman"/>
      <w:b/>
      <w:bCs/>
      <w:sz w:val="40"/>
      <w:szCs w:val="40"/>
      <w:u w:val="single"/>
      <w:lang w:eastAsia="en-GB"/>
    </w:rPr>
  </w:style>
  <w:style w:type="character" w:customStyle="1" w:styleId="TitleChar">
    <w:name w:val="Title Char"/>
    <w:basedOn w:val="DefaultParagraphFont"/>
    <w:link w:val="Title"/>
    <w:uiPriority w:val="99"/>
    <w:rsid w:val="00AD3B83"/>
    <w:rPr>
      <w:rFonts w:ascii="Times New Roman" w:eastAsia="Times New Roman" w:hAnsi="Times New Roman" w:cs="Times New Roman"/>
      <w:b/>
      <w:bCs/>
      <w:sz w:val="40"/>
      <w:szCs w:val="4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32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2999</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VanDerStam</dc:creator>
  <cp:keywords/>
  <dc:description/>
  <cp:lastModifiedBy>GREEN, Amy (BOURNBROOK VARSITY MEDICAL CENTRE)</cp:lastModifiedBy>
  <cp:revision>2</cp:revision>
  <dcterms:created xsi:type="dcterms:W3CDTF">2024-09-18T09:06:00Z</dcterms:created>
  <dcterms:modified xsi:type="dcterms:W3CDTF">2024-09-18T09:06:00Z</dcterms:modified>
</cp:coreProperties>
</file>